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6F39" w14:textId="77777777" w:rsidR="00B50545" w:rsidRDefault="00B50545" w:rsidP="009A202E">
      <w:pPr>
        <w:jc w:val="both"/>
        <w:outlineLvl w:val="0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>Introduction</w:t>
      </w:r>
    </w:p>
    <w:p w14:paraId="54B097ED" w14:textId="77777777" w:rsidR="008B2D63" w:rsidRDefault="009C56FC" w:rsidP="00C079D0">
      <w:pPr>
        <w:jc w:val="both"/>
        <w:rPr>
          <w:rFonts w:cstheme="minorHAnsi"/>
          <w:sz w:val="24"/>
          <w:szCs w:val="24"/>
        </w:rPr>
      </w:pPr>
      <w:bookmarkStart w:id="1" w:name="OLE_LINK1"/>
      <w:r w:rsidRPr="009C56FC">
        <w:rPr>
          <w:rFonts w:cstheme="minorHAnsi"/>
          <w:color w:val="000000"/>
          <w:sz w:val="24"/>
          <w:szCs w:val="24"/>
        </w:rPr>
        <w:t xml:space="preserve">Data for the prices has been excerpted from the ledgers of the </w:t>
      </w:r>
      <w:r w:rsidR="00D45133">
        <w:rPr>
          <w:rFonts w:cstheme="minorHAnsi"/>
          <w:color w:val="000000"/>
          <w:sz w:val="24"/>
          <w:szCs w:val="24"/>
        </w:rPr>
        <w:t>merchant house</w:t>
      </w:r>
      <w:r w:rsidRPr="009C56FC">
        <w:rPr>
          <w:rFonts w:cstheme="minorHAnsi"/>
          <w:color w:val="000000"/>
          <w:sz w:val="24"/>
          <w:szCs w:val="24"/>
        </w:rPr>
        <w:t xml:space="preserve"> Thomas Clayhills &amp; Son</w:t>
      </w:r>
      <w:r w:rsidR="00966250">
        <w:rPr>
          <w:rFonts w:cstheme="minorHAnsi"/>
          <w:color w:val="000000"/>
          <w:sz w:val="24"/>
          <w:szCs w:val="24"/>
        </w:rPr>
        <w:t xml:space="preserve">. </w:t>
      </w:r>
      <w:r w:rsidR="00E96F27">
        <w:rPr>
          <w:sz w:val="24"/>
          <w:szCs w:val="24"/>
        </w:rPr>
        <w:t>The firm was active in Tallinn (</w:t>
      </w:r>
      <w:r w:rsidR="00E96F27">
        <w:rPr>
          <w:i/>
          <w:sz w:val="24"/>
          <w:szCs w:val="24"/>
        </w:rPr>
        <w:t>Reval</w:t>
      </w:r>
      <w:r w:rsidR="00E96F27">
        <w:rPr>
          <w:sz w:val="24"/>
          <w:szCs w:val="24"/>
        </w:rPr>
        <w:t xml:space="preserve"> in German), a harbour city on the eastern shores of the Baltic Sea that later become the capital of the Republic of Estonia. </w:t>
      </w:r>
      <w:r w:rsidRPr="009C56FC">
        <w:rPr>
          <w:rFonts w:cstheme="minorHAnsi"/>
          <w:sz w:val="24"/>
          <w:szCs w:val="24"/>
        </w:rPr>
        <w:t xml:space="preserve">Even though Tallinn was actively involved in </w:t>
      </w:r>
      <w:r w:rsidR="00E96F27">
        <w:rPr>
          <w:rFonts w:cstheme="minorHAnsi"/>
          <w:sz w:val="24"/>
          <w:szCs w:val="24"/>
        </w:rPr>
        <w:t>international</w:t>
      </w:r>
      <w:r w:rsidR="00966250">
        <w:rPr>
          <w:rFonts w:cstheme="minorHAnsi"/>
          <w:sz w:val="24"/>
          <w:szCs w:val="24"/>
        </w:rPr>
        <w:t xml:space="preserve"> </w:t>
      </w:r>
      <w:r w:rsidRPr="009C56FC">
        <w:rPr>
          <w:rFonts w:cstheme="minorHAnsi"/>
          <w:sz w:val="24"/>
          <w:szCs w:val="24"/>
        </w:rPr>
        <w:t>trade at the time of the Hanseatic League, the days of prosperity were well over by the 18</w:t>
      </w:r>
      <w:r w:rsidRPr="009C56FC">
        <w:rPr>
          <w:rFonts w:cstheme="minorHAnsi"/>
          <w:sz w:val="24"/>
          <w:szCs w:val="24"/>
          <w:vertAlign w:val="superscript"/>
        </w:rPr>
        <w:t>th</w:t>
      </w:r>
      <w:r w:rsidRPr="009C56FC">
        <w:rPr>
          <w:rFonts w:cstheme="minorHAnsi"/>
          <w:sz w:val="24"/>
          <w:szCs w:val="24"/>
        </w:rPr>
        <w:t xml:space="preserve"> century. Though, as a capital of the Russian Governorate of Estonia, it remained the main gate of trade between the provincial market and overseas. Th. Clayhills &amp; Son was one of the leading trading houses in Tallinn from its founding year in 1716 to Soviet nationalization in 1940.</w:t>
      </w:r>
      <w:r w:rsidR="0084359C">
        <w:rPr>
          <w:rFonts w:cstheme="minorHAnsi"/>
          <w:sz w:val="24"/>
          <w:szCs w:val="24"/>
        </w:rPr>
        <w:t xml:space="preserve"> Rye was traditi</w:t>
      </w:r>
      <w:r>
        <w:rPr>
          <w:rFonts w:cstheme="minorHAnsi"/>
          <w:sz w:val="24"/>
          <w:szCs w:val="24"/>
        </w:rPr>
        <w:t xml:space="preserve">onally main </w:t>
      </w:r>
      <w:r w:rsidR="00E20ABB">
        <w:rPr>
          <w:rFonts w:cstheme="minorHAnsi"/>
          <w:sz w:val="24"/>
          <w:szCs w:val="24"/>
        </w:rPr>
        <w:t xml:space="preserve">production and </w:t>
      </w:r>
      <w:r>
        <w:rPr>
          <w:rFonts w:cstheme="minorHAnsi"/>
          <w:sz w:val="24"/>
          <w:szCs w:val="24"/>
        </w:rPr>
        <w:t>export ar</w:t>
      </w:r>
      <w:r w:rsidR="00D4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icle of the province of Estonia</w:t>
      </w:r>
      <w:r w:rsidR="0084359C">
        <w:rPr>
          <w:rFonts w:cstheme="minorHAnsi"/>
          <w:sz w:val="24"/>
          <w:szCs w:val="24"/>
        </w:rPr>
        <w:t xml:space="preserve"> as well </w:t>
      </w:r>
      <w:r w:rsidR="00E20ABB">
        <w:rPr>
          <w:rFonts w:cstheme="minorHAnsi"/>
          <w:sz w:val="24"/>
          <w:szCs w:val="24"/>
        </w:rPr>
        <w:t>most important</w:t>
      </w:r>
      <w:r w:rsidR="0084359C">
        <w:rPr>
          <w:rFonts w:cstheme="minorHAnsi"/>
          <w:sz w:val="24"/>
          <w:szCs w:val="24"/>
        </w:rPr>
        <w:t xml:space="preserve"> trading good</w:t>
      </w:r>
      <w:r w:rsidR="00D45133">
        <w:rPr>
          <w:rFonts w:cstheme="minorHAnsi"/>
          <w:sz w:val="24"/>
          <w:szCs w:val="24"/>
        </w:rPr>
        <w:t>s</w:t>
      </w:r>
      <w:r w:rsidR="0084359C">
        <w:rPr>
          <w:rFonts w:cstheme="minorHAnsi"/>
          <w:sz w:val="24"/>
          <w:szCs w:val="24"/>
        </w:rPr>
        <w:t xml:space="preserve"> in the port of Tallinn. </w:t>
      </w:r>
      <w:r w:rsidR="00B50545">
        <w:rPr>
          <w:rFonts w:cstheme="minorHAnsi"/>
          <w:sz w:val="24"/>
          <w:szCs w:val="24"/>
        </w:rPr>
        <w:t xml:space="preserve">Th. Clayhills &amp; Son was over the years one of the biggest rye exporter in the town. </w:t>
      </w:r>
      <w:r w:rsidR="0084359C">
        <w:rPr>
          <w:rFonts w:cstheme="minorHAnsi"/>
          <w:sz w:val="24"/>
          <w:szCs w:val="24"/>
        </w:rPr>
        <w:t xml:space="preserve">Though, </w:t>
      </w:r>
      <w:r w:rsidR="00D45133" w:rsidRPr="00D45133">
        <w:rPr>
          <w:rFonts w:cstheme="minorHAnsi"/>
          <w:sz w:val="24"/>
          <w:szCs w:val="24"/>
        </w:rPr>
        <w:t>importance o</w:t>
      </w:r>
      <w:r w:rsidR="00E20ABB">
        <w:rPr>
          <w:rFonts w:cstheme="minorHAnsi"/>
          <w:sz w:val="24"/>
          <w:szCs w:val="24"/>
        </w:rPr>
        <w:t xml:space="preserve">f rye as an export good </w:t>
      </w:r>
      <w:r w:rsidR="00E96F27">
        <w:rPr>
          <w:rFonts w:cstheme="minorHAnsi"/>
          <w:sz w:val="24"/>
          <w:szCs w:val="24"/>
        </w:rPr>
        <w:t xml:space="preserve">to western market </w:t>
      </w:r>
      <w:r w:rsidR="00E20ABB">
        <w:rPr>
          <w:rFonts w:cstheme="minorHAnsi"/>
          <w:sz w:val="24"/>
          <w:szCs w:val="24"/>
        </w:rPr>
        <w:t>declined</w:t>
      </w:r>
      <w:r w:rsidR="00D45133" w:rsidRPr="00D45133">
        <w:rPr>
          <w:rFonts w:cstheme="minorHAnsi"/>
          <w:sz w:val="24"/>
          <w:szCs w:val="24"/>
        </w:rPr>
        <w:t xml:space="preserve"> sharply starting from the second half of the 18. century as </w:t>
      </w:r>
      <w:r w:rsidR="00E20ABB">
        <w:rPr>
          <w:rFonts w:cstheme="minorHAnsi"/>
          <w:sz w:val="24"/>
          <w:szCs w:val="24"/>
        </w:rPr>
        <w:t xml:space="preserve">the vodka distillation </w:t>
      </w:r>
      <w:r w:rsidR="00E96F27">
        <w:rPr>
          <w:rFonts w:cstheme="minorHAnsi"/>
          <w:sz w:val="24"/>
          <w:szCs w:val="24"/>
        </w:rPr>
        <w:t xml:space="preserve">in Estonian manors </w:t>
      </w:r>
      <w:r w:rsidR="00E20ABB">
        <w:rPr>
          <w:rFonts w:cstheme="minorHAnsi"/>
          <w:sz w:val="24"/>
          <w:szCs w:val="24"/>
        </w:rPr>
        <w:t>increased</w:t>
      </w:r>
      <w:r w:rsidR="00D45133" w:rsidRPr="00D45133">
        <w:rPr>
          <w:rFonts w:cstheme="minorHAnsi"/>
          <w:sz w:val="24"/>
          <w:szCs w:val="24"/>
        </w:rPr>
        <w:t>.</w:t>
      </w:r>
      <w:r w:rsidR="0084359C">
        <w:rPr>
          <w:rFonts w:cstheme="minorHAnsi"/>
          <w:sz w:val="24"/>
          <w:szCs w:val="24"/>
        </w:rPr>
        <w:t xml:space="preserve"> Rye was the main feedstock fo</w:t>
      </w:r>
      <w:r w:rsidR="00E20ABB">
        <w:rPr>
          <w:rFonts w:cstheme="minorHAnsi"/>
          <w:sz w:val="24"/>
          <w:szCs w:val="24"/>
        </w:rPr>
        <w:t>r vodka industry and Russia beca</w:t>
      </w:r>
      <w:r w:rsidR="0084359C">
        <w:rPr>
          <w:rFonts w:cstheme="minorHAnsi"/>
          <w:sz w:val="24"/>
          <w:szCs w:val="24"/>
        </w:rPr>
        <w:t xml:space="preserve">me the main </w:t>
      </w:r>
      <w:r w:rsidR="00D45133">
        <w:rPr>
          <w:rFonts w:cstheme="minorHAnsi"/>
          <w:sz w:val="24"/>
          <w:szCs w:val="24"/>
        </w:rPr>
        <w:t xml:space="preserve">export </w:t>
      </w:r>
      <w:r w:rsidR="0084359C">
        <w:rPr>
          <w:rFonts w:cstheme="minorHAnsi"/>
          <w:sz w:val="24"/>
          <w:szCs w:val="24"/>
        </w:rPr>
        <w:t>market for it.</w:t>
      </w:r>
    </w:p>
    <w:p w14:paraId="15C13E1C" w14:textId="77777777" w:rsidR="00966250" w:rsidRDefault="00966250" w:rsidP="00C079D0">
      <w:pPr>
        <w:jc w:val="both"/>
        <w:rPr>
          <w:rFonts w:cstheme="minorHAnsi"/>
          <w:color w:val="000000"/>
          <w:sz w:val="24"/>
          <w:szCs w:val="24"/>
        </w:rPr>
      </w:pPr>
      <w:r w:rsidRPr="00966250">
        <w:rPr>
          <w:rFonts w:cstheme="minorHAnsi"/>
          <w:color w:val="000000"/>
          <w:sz w:val="24"/>
          <w:szCs w:val="24"/>
        </w:rPr>
        <w:t xml:space="preserve">The yearly prices are the </w:t>
      </w:r>
      <w:r w:rsidR="00B50545">
        <w:rPr>
          <w:rFonts w:cstheme="minorHAnsi"/>
          <w:color w:val="000000"/>
          <w:sz w:val="24"/>
          <w:szCs w:val="24"/>
        </w:rPr>
        <w:t>we</w:t>
      </w:r>
      <w:r w:rsidR="00E20ABB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 xml:space="preserve">ghted average </w:t>
      </w:r>
      <w:r w:rsidRPr="00966250">
        <w:rPr>
          <w:rFonts w:cstheme="minorHAnsi"/>
          <w:color w:val="000000"/>
          <w:sz w:val="24"/>
          <w:szCs w:val="24"/>
        </w:rPr>
        <w:t xml:space="preserve">of the </w:t>
      </w:r>
      <w:r>
        <w:rPr>
          <w:rFonts w:cstheme="minorHAnsi"/>
          <w:color w:val="000000"/>
          <w:sz w:val="24"/>
          <w:szCs w:val="24"/>
        </w:rPr>
        <w:t xml:space="preserve">wholesale purchase </w:t>
      </w:r>
      <w:r w:rsidRPr="00966250">
        <w:rPr>
          <w:rFonts w:cstheme="minorHAnsi"/>
          <w:color w:val="000000"/>
          <w:sz w:val="24"/>
          <w:szCs w:val="24"/>
        </w:rPr>
        <w:t xml:space="preserve">prices for the </w:t>
      </w:r>
      <w:r>
        <w:rPr>
          <w:rFonts w:cstheme="minorHAnsi"/>
          <w:color w:val="000000"/>
          <w:sz w:val="24"/>
          <w:szCs w:val="24"/>
        </w:rPr>
        <w:t>calendar</w:t>
      </w:r>
      <w:r w:rsidRPr="00966250">
        <w:rPr>
          <w:rFonts w:cstheme="minorHAnsi"/>
          <w:color w:val="000000"/>
          <w:sz w:val="24"/>
          <w:szCs w:val="24"/>
        </w:rPr>
        <w:t xml:space="preserve"> year</w:t>
      </w:r>
      <w:r w:rsidR="00E96F27">
        <w:rPr>
          <w:rFonts w:cstheme="minorHAnsi"/>
          <w:color w:val="000000"/>
          <w:sz w:val="24"/>
          <w:szCs w:val="24"/>
        </w:rPr>
        <w:t xml:space="preserve"> in Tallinn</w:t>
      </w:r>
      <w:r w:rsidRPr="00966250">
        <w:rPr>
          <w:rFonts w:cstheme="minorHAnsi"/>
          <w:color w:val="000000"/>
          <w:sz w:val="24"/>
          <w:szCs w:val="24"/>
        </w:rPr>
        <w:t xml:space="preserve">. The nominal prices are expressed in </w:t>
      </w:r>
      <w:r w:rsidR="00E20ABB">
        <w:rPr>
          <w:rFonts w:cstheme="minorHAnsi"/>
          <w:color w:val="000000"/>
          <w:sz w:val="24"/>
          <w:szCs w:val="24"/>
        </w:rPr>
        <w:t>Russian silver ru</w:t>
      </w:r>
      <w:r>
        <w:rPr>
          <w:rFonts w:cstheme="minorHAnsi"/>
          <w:color w:val="000000"/>
          <w:sz w:val="24"/>
          <w:szCs w:val="24"/>
        </w:rPr>
        <w:t xml:space="preserve">ble and </w:t>
      </w:r>
      <w:r w:rsidR="00E96F27">
        <w:rPr>
          <w:rFonts w:cstheme="minorHAnsi"/>
          <w:color w:val="000000"/>
          <w:sz w:val="24"/>
          <w:szCs w:val="24"/>
        </w:rPr>
        <w:t xml:space="preserve">also </w:t>
      </w:r>
      <w:r>
        <w:rPr>
          <w:rFonts w:cstheme="minorHAnsi"/>
          <w:color w:val="000000"/>
          <w:sz w:val="24"/>
          <w:szCs w:val="24"/>
        </w:rPr>
        <w:t xml:space="preserve">in </w:t>
      </w:r>
      <w:r w:rsidR="00B50545">
        <w:rPr>
          <w:rFonts w:cstheme="minorHAnsi"/>
          <w:color w:val="000000"/>
          <w:sz w:val="24"/>
          <w:szCs w:val="24"/>
        </w:rPr>
        <w:t xml:space="preserve">so-called </w:t>
      </w:r>
      <w:r w:rsidR="00E20ABB">
        <w:rPr>
          <w:rFonts w:cstheme="minorHAnsi"/>
          <w:color w:val="000000"/>
          <w:sz w:val="24"/>
          <w:szCs w:val="24"/>
        </w:rPr>
        <w:t>silver price</w:t>
      </w:r>
      <w:r w:rsidR="00E96F27">
        <w:rPr>
          <w:rFonts w:cstheme="minorHAnsi"/>
          <w:color w:val="000000"/>
          <w:sz w:val="24"/>
          <w:szCs w:val="24"/>
        </w:rPr>
        <w:t xml:space="preserve"> (g Ag per litre</w:t>
      </w:r>
      <w:r w:rsidR="00B50545">
        <w:rPr>
          <w:rFonts w:cstheme="minorHAnsi"/>
          <w:color w:val="000000"/>
          <w:sz w:val="24"/>
          <w:szCs w:val="24"/>
        </w:rPr>
        <w:t>).</w:t>
      </w:r>
    </w:p>
    <w:p w14:paraId="317877F0" w14:textId="77777777" w:rsidR="00B50545" w:rsidRDefault="00B50545" w:rsidP="00C079D0">
      <w:pPr>
        <w:jc w:val="both"/>
        <w:rPr>
          <w:rFonts w:cstheme="minorHAnsi"/>
          <w:color w:val="000000"/>
          <w:sz w:val="24"/>
          <w:szCs w:val="24"/>
        </w:rPr>
      </w:pPr>
    </w:p>
    <w:p w14:paraId="759DFBC4" w14:textId="77777777" w:rsidR="00B50545" w:rsidRDefault="00B50545" w:rsidP="009A202E">
      <w:pPr>
        <w:jc w:val="both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Sources</w:t>
      </w:r>
    </w:p>
    <w:p w14:paraId="48D07647" w14:textId="77777777" w:rsidR="00B50545" w:rsidRPr="00B50545" w:rsidRDefault="00B50545" w:rsidP="00C079D0">
      <w:pPr>
        <w:jc w:val="both"/>
        <w:rPr>
          <w:rFonts w:cstheme="minorHAnsi"/>
          <w:color w:val="000000"/>
          <w:sz w:val="24"/>
          <w:szCs w:val="24"/>
        </w:rPr>
      </w:pPr>
      <w:r w:rsidRPr="00B50545">
        <w:rPr>
          <w:rFonts w:cstheme="minorHAnsi"/>
          <w:color w:val="000000"/>
          <w:sz w:val="24"/>
          <w:szCs w:val="24"/>
        </w:rPr>
        <w:t>The data that are presented in this database have been compiled by the author from his following publication:</w:t>
      </w:r>
    </w:p>
    <w:p w14:paraId="0056672D" w14:textId="77777777" w:rsidR="00C079D0" w:rsidRPr="00E37002" w:rsidRDefault="001D07B6" w:rsidP="00C079D0">
      <w:pPr>
        <w:jc w:val="both"/>
      </w:pPr>
      <w:r>
        <w:rPr>
          <w:rFonts w:eastAsia="Calibri"/>
          <w:sz w:val="24"/>
          <w:szCs w:val="24"/>
        </w:rPr>
        <w:t>H. Vinnal</w:t>
      </w:r>
      <w:r w:rsidR="00C079D0" w:rsidRPr="00E37002">
        <w:rPr>
          <w:rFonts w:eastAsia="Calibri"/>
          <w:sz w:val="24"/>
          <w:szCs w:val="24"/>
        </w:rPr>
        <w:t xml:space="preserve"> (2012). Der baltische Getreidehandel und das internationale Preisniveau: Der Roggenpreis in Reval im 18. Jahrhundert </w:t>
      </w:r>
      <w:r w:rsidR="00C079D0" w:rsidRPr="00E37002">
        <w:rPr>
          <w:sz w:val="24"/>
          <w:szCs w:val="24"/>
        </w:rPr>
        <w:t>[</w:t>
      </w:r>
      <w:r w:rsidR="00C079D0">
        <w:rPr>
          <w:rFonts w:eastAsia="Calibri"/>
          <w:sz w:val="24"/>
          <w:szCs w:val="24"/>
        </w:rPr>
        <w:t>Baltic corn trade and the i</w:t>
      </w:r>
      <w:r w:rsidR="00C079D0" w:rsidRPr="00E37002">
        <w:rPr>
          <w:rFonts w:eastAsia="Calibri"/>
          <w:sz w:val="24"/>
          <w:szCs w:val="24"/>
        </w:rPr>
        <w:t>nternational price level: The price of rye in 18</w:t>
      </w:r>
      <w:r w:rsidR="00C079D0" w:rsidRPr="00E37002">
        <w:rPr>
          <w:rFonts w:eastAsia="Calibri"/>
          <w:sz w:val="24"/>
          <w:szCs w:val="24"/>
          <w:vertAlign w:val="superscript"/>
        </w:rPr>
        <w:t>th</w:t>
      </w:r>
      <w:r w:rsidR="00C079D0" w:rsidRPr="00E37002">
        <w:rPr>
          <w:rFonts w:eastAsia="Calibri"/>
          <w:sz w:val="24"/>
          <w:szCs w:val="24"/>
        </w:rPr>
        <w:t xml:space="preserve"> century Tallinn</w:t>
      </w:r>
      <w:r w:rsidR="00C079D0" w:rsidRPr="00E37002">
        <w:rPr>
          <w:sz w:val="24"/>
          <w:szCs w:val="24"/>
        </w:rPr>
        <w:t>]</w:t>
      </w:r>
      <w:r w:rsidR="00C079D0" w:rsidRPr="00E37002">
        <w:rPr>
          <w:rFonts w:eastAsia="Calibri"/>
          <w:sz w:val="24"/>
          <w:szCs w:val="24"/>
        </w:rPr>
        <w:t xml:space="preserve">. </w:t>
      </w:r>
      <w:r w:rsidR="00C079D0" w:rsidRPr="0014684D">
        <w:rPr>
          <w:rFonts w:eastAsia="Calibri"/>
          <w:i/>
          <w:sz w:val="24"/>
          <w:szCs w:val="24"/>
        </w:rPr>
        <w:t>Forschungen zur baltischen Geschichte</w:t>
      </w:r>
      <w:r w:rsidR="00C079D0" w:rsidRPr="00E37002">
        <w:rPr>
          <w:rFonts w:eastAsia="Calibri"/>
          <w:sz w:val="24"/>
          <w:szCs w:val="24"/>
        </w:rPr>
        <w:t xml:space="preserve"> </w:t>
      </w:r>
      <w:r w:rsidR="00C079D0" w:rsidRPr="00C079D0">
        <w:rPr>
          <w:rFonts w:eastAsia="Calibri"/>
          <w:sz w:val="24"/>
          <w:szCs w:val="24"/>
        </w:rPr>
        <w:t>8</w:t>
      </w:r>
      <w:r w:rsidR="00C079D0" w:rsidRPr="00E37002">
        <w:rPr>
          <w:rFonts w:eastAsia="Calibri"/>
          <w:sz w:val="24"/>
          <w:szCs w:val="24"/>
        </w:rPr>
        <w:t>, pp. 103-126.</w:t>
      </w:r>
    </w:p>
    <w:p w14:paraId="0DC0D39C" w14:textId="77777777" w:rsidR="00B50545" w:rsidRDefault="00C079D0" w:rsidP="00C079D0">
      <w:pPr>
        <w:jc w:val="both"/>
        <w:rPr>
          <w:rFonts w:cstheme="minorHAnsi"/>
          <w:color w:val="000000"/>
          <w:sz w:val="24"/>
          <w:szCs w:val="24"/>
        </w:rPr>
      </w:pPr>
      <w:r w:rsidRPr="00C079D0">
        <w:rPr>
          <w:rFonts w:cstheme="minorHAnsi"/>
          <w:color w:val="000000"/>
          <w:sz w:val="24"/>
          <w:szCs w:val="24"/>
        </w:rPr>
        <w:t xml:space="preserve">Source for the silver weight of the </w:t>
      </w:r>
      <w:r w:rsidR="00E20ABB">
        <w:rPr>
          <w:rFonts w:cstheme="minorHAnsi"/>
          <w:color w:val="000000"/>
          <w:sz w:val="24"/>
          <w:szCs w:val="24"/>
        </w:rPr>
        <w:t xml:space="preserve">Russian </w:t>
      </w:r>
      <w:r>
        <w:rPr>
          <w:rFonts w:cstheme="minorHAnsi"/>
          <w:color w:val="000000"/>
          <w:sz w:val="24"/>
          <w:szCs w:val="24"/>
        </w:rPr>
        <w:t>ruble</w:t>
      </w:r>
      <w:r w:rsidRPr="00C079D0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3982CC3C" w14:textId="77777777" w:rsidR="00C079D0" w:rsidRPr="00C079D0" w:rsidRDefault="00C079D0" w:rsidP="00C079D0">
      <w:pPr>
        <w:jc w:val="both"/>
        <w:rPr>
          <w:rFonts w:cstheme="minorHAnsi"/>
          <w:color w:val="000000"/>
          <w:sz w:val="24"/>
          <w:szCs w:val="24"/>
        </w:rPr>
      </w:pPr>
      <w:r w:rsidRPr="00C079D0">
        <w:rPr>
          <w:rFonts w:cstheme="minorHAnsi"/>
          <w:color w:val="000000"/>
          <w:sz w:val="24"/>
          <w:szCs w:val="24"/>
        </w:rPr>
        <w:t>B. Mironov</w:t>
      </w:r>
      <w:r w:rsidR="001D07B6">
        <w:rPr>
          <w:rStyle w:val="Emphasis"/>
          <w:rFonts w:cstheme="minorHAnsi"/>
          <w:i w:val="0"/>
          <w:sz w:val="24"/>
          <w:szCs w:val="24"/>
        </w:rPr>
        <w:t>.</w:t>
      </w:r>
      <w:r w:rsidRPr="00C079D0">
        <w:rPr>
          <w:rStyle w:val="Emphasis"/>
          <w:rFonts w:cstheme="minorHAnsi"/>
          <w:i w:val="0"/>
          <w:sz w:val="24"/>
          <w:szCs w:val="24"/>
        </w:rPr>
        <w:t xml:space="preserve"> </w:t>
      </w:r>
      <w:r w:rsidRPr="00C079D0">
        <w:rPr>
          <w:rStyle w:val="Emphasis"/>
          <w:rFonts w:cstheme="minorHAnsi"/>
          <w:sz w:val="24"/>
          <w:szCs w:val="24"/>
        </w:rPr>
        <w:t xml:space="preserve">Silver and gold content of the Russian ruble, 1535-1913, </w:t>
      </w:r>
      <w:r w:rsidRPr="00C079D0">
        <w:rPr>
          <w:rFonts w:cstheme="minorHAnsi"/>
          <w:color w:val="000000"/>
          <w:sz w:val="24"/>
          <w:szCs w:val="24"/>
        </w:rPr>
        <w:t xml:space="preserve">Global Price and Income History Group, </w:t>
      </w:r>
      <w:hyperlink r:id="rId4" w:history="1">
        <w:r w:rsidRPr="00F256F3">
          <w:rPr>
            <w:rStyle w:val="Hyperlink"/>
            <w:rFonts w:cstheme="minorHAnsi"/>
            <w:sz w:val="24"/>
            <w:szCs w:val="24"/>
          </w:rPr>
          <w:t>http://www.iisg.nl/hpw/data.php</w:t>
        </w:r>
      </w:hyperlink>
      <w:r>
        <w:rPr>
          <w:rFonts w:cstheme="minorHAnsi"/>
          <w:color w:val="000000"/>
          <w:sz w:val="24"/>
          <w:szCs w:val="24"/>
        </w:rPr>
        <w:t xml:space="preserve"> .</w:t>
      </w:r>
    </w:p>
    <w:p w14:paraId="69E1E35B" w14:textId="77777777" w:rsidR="00C079D0" w:rsidRDefault="00C079D0" w:rsidP="00C079D0">
      <w:pPr>
        <w:jc w:val="both"/>
        <w:rPr>
          <w:rFonts w:cstheme="minorHAnsi"/>
          <w:color w:val="000000"/>
          <w:sz w:val="24"/>
          <w:szCs w:val="24"/>
        </w:rPr>
      </w:pPr>
    </w:p>
    <w:p w14:paraId="19DC0A01" w14:textId="77777777" w:rsidR="00B50545" w:rsidRDefault="00B50545" w:rsidP="009A202E">
      <w:pPr>
        <w:jc w:val="both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Contact details of the author</w:t>
      </w:r>
    </w:p>
    <w:p w14:paraId="29788A14" w14:textId="77777777" w:rsidR="00B50545" w:rsidRDefault="00B50545" w:rsidP="00E96F27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Hannes Vinnal</w:t>
      </w:r>
    </w:p>
    <w:p w14:paraId="1055E035" w14:textId="77777777" w:rsidR="00B50545" w:rsidRPr="00B50545" w:rsidRDefault="00B50545" w:rsidP="00E96F27">
      <w:pPr>
        <w:spacing w:after="0"/>
        <w:jc w:val="both"/>
        <w:rPr>
          <w:sz w:val="24"/>
          <w:szCs w:val="24"/>
        </w:rPr>
      </w:pPr>
      <w:r w:rsidRPr="00B50545">
        <w:rPr>
          <w:sz w:val="24"/>
          <w:szCs w:val="24"/>
        </w:rPr>
        <w:t>Institute of History and Archeology</w:t>
      </w:r>
    </w:p>
    <w:p w14:paraId="49871AE8" w14:textId="77777777" w:rsidR="00B50545" w:rsidRPr="00B50545" w:rsidRDefault="00B50545" w:rsidP="00E96F27">
      <w:pPr>
        <w:spacing w:after="0"/>
        <w:jc w:val="both"/>
        <w:rPr>
          <w:sz w:val="24"/>
          <w:szCs w:val="24"/>
        </w:rPr>
      </w:pPr>
      <w:r w:rsidRPr="00B50545">
        <w:rPr>
          <w:sz w:val="24"/>
          <w:szCs w:val="24"/>
        </w:rPr>
        <w:t>University of Tartu, Estonia</w:t>
      </w:r>
    </w:p>
    <w:p w14:paraId="5F202553" w14:textId="77777777" w:rsidR="00B50545" w:rsidRPr="00966250" w:rsidRDefault="00925A11" w:rsidP="00E96F27">
      <w:pPr>
        <w:spacing w:after="0"/>
        <w:jc w:val="both"/>
        <w:rPr>
          <w:rFonts w:cstheme="minorHAnsi"/>
          <w:sz w:val="24"/>
          <w:szCs w:val="24"/>
        </w:rPr>
      </w:pPr>
      <w:hyperlink r:id="rId5" w:history="1">
        <w:r w:rsidR="00B50545" w:rsidRPr="00B50545">
          <w:rPr>
            <w:rStyle w:val="Hyperlink"/>
            <w:sz w:val="24"/>
            <w:szCs w:val="24"/>
            <w:u w:val="none"/>
          </w:rPr>
          <w:t>hvinnal@ut.ee</w:t>
        </w:r>
      </w:hyperlink>
      <w:bookmarkEnd w:id="1"/>
    </w:p>
    <w:sectPr w:rsidR="00B50545" w:rsidRPr="00966250" w:rsidSect="008B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FC"/>
    <w:rsid w:val="001D07B6"/>
    <w:rsid w:val="002B56FE"/>
    <w:rsid w:val="006C79A4"/>
    <w:rsid w:val="0084359C"/>
    <w:rsid w:val="008B2D63"/>
    <w:rsid w:val="00925A11"/>
    <w:rsid w:val="00966250"/>
    <w:rsid w:val="009A202E"/>
    <w:rsid w:val="009C56FC"/>
    <w:rsid w:val="00B50545"/>
    <w:rsid w:val="00C079D0"/>
    <w:rsid w:val="00D45133"/>
    <w:rsid w:val="00E20ABB"/>
    <w:rsid w:val="00E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6D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0545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C07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isg.nl/hpw/data.php" TargetMode="External"/><Relationship Id="rId5" Type="http://schemas.openxmlformats.org/officeDocument/2006/relationships/hyperlink" Target="mailto:hvinnal@ut.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hvinnal</dc:creator>
  <cp:lastModifiedBy>Peter Lindert</cp:lastModifiedBy>
  <cp:revision>2</cp:revision>
  <dcterms:created xsi:type="dcterms:W3CDTF">2018-06-01T15:06:00Z</dcterms:created>
  <dcterms:modified xsi:type="dcterms:W3CDTF">2018-06-01T15:06:00Z</dcterms:modified>
</cp:coreProperties>
</file>